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辽宁省抚顺市新抚区殡葬管理行政执法队</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辽宁省抚顺市新抚区殡葬管理行政执法队</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辽宁省抚顺市新抚区殡葬管理行政执法队</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辽宁省抚顺市新抚区殡葬管理行政执法队</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辽宁省抚顺市新抚区殡葬管理行政执法队</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辽宁省抚顺市新抚区殡葬管理行政执法队概况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（一）承担宣传贯彻国家关于殡葬改革的法规、政策，并提供咨询、解释工作。</w:t>
        <w:br/>
        <w:t xml:space="preserve">    （二）参与制定殡葬建设、改革规划。</w:t>
        <w:br/>
        <w:t xml:space="preserve">    （三）承担民政部门依法纠正和查处违反殡葬管理的相关法律法规或规章的行为提供服务保障。</w:t>
        <w:br/>
        <w:t xml:space="preserve">    （四）协调住建局、市场监督管理局、公安等相关部门联合开展殡葬管理执法服务工作。</w:t>
        <w:br/>
        <w:t xml:space="preserve">    （五）承担区民政局交办的其他工作。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辽宁省抚顺市新抚区殡葬管理行政执法队</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新抚区殡葬管理行政执法队</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12.14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12.14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12.14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增加12.14万元，增长0.00%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12.14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12.14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工资福利支出9.38万元；商品和服务支出0.33万元；对个人和家庭的补助2.43万元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增加12.14万元，增长0.00%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12.14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12.14</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增加12.14万元，增长0.00%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2023年度一般公共预算财政拨款支出12.14万元。按支出功能分类科目分，包括：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1.一般公共服务支出8.06万元，具体包括：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（1）一般公共服务支出（类）政府办公厅（室）及相关机构事务（款）事业运行（项）8.06万元,主要是一般公共服务等支出，完成年初预算的100%，决算数与年初预算数存在差异的主要原因是无。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2.社会保障和就业支出2.75万元，具体包括：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（1）社会保障和就业支出（类）民政管理事务（款）其他民政管理事务支出（项）0.00万元,主要是社会保障和就业等支出，完成年初预算的0%，决算数与年初预算数存在差异的主要原因是无。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（2）社会保障和就业支出（类）行政事业单位养老支出（款）事业单位离退休（项）1.74万元,主要是事业单位养老等支出，完成年初预算的100%，决算数与年初预算数存在差异的主要原因是无。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0.95万元,主要是事业单位基本养老保险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（4）社会保障和就业支出（类）其他社会保障和就业支出（款）其他社会保障和就业支出（项）0.06万元,主要是其他社会保障等支出，完成年初预算的100%，决算数与年初预算数存在差异的主要原因是无。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3.卫生健康支出0.42万元，具体包括：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（1）卫生健康支出（类）行政事业单位医疗（款）事业单位医疗（项）0.42万元,主要是事业单位医疗等支出，完成年初预算的100%，决算数与年初预算数存在差异的主要原因是无。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4.住房保障支出0.92万元，具体包括：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（1）住房保障支出（类）住房改革支出（款）住房公积金（项）0.92万元,主要是住房公积金等支出，完成年初预算的100%，决算数与年初预算数存在差异的主要原因是无。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12.14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11.81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0.33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无</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单位：辽宁省抚顺市新抚区殡葬管理行政执法队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12.14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8.06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2.75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0.42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0.92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12.14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12.14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12.14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12.14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单位：辽宁省抚顺市新抚区殡葬管理行政执法队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12.14</w:t>
            </w:r>
          </w:p>
        </w:tc>
        <w:tc>
          <w:tcPr>
            <w:tcW w:w="1160" w:type="dxa"/>
            <w:tcBorders/>
            <w:vAlign w:val="center"/>
          </w:tcPr>
          <w:p>
            <w:pPr>
              <w:jc w:val="right"/>
            </w:pPr>
            <w:r>
              <w:rPr>
                <w:rFonts w:ascii="宋体" w:eastAsia="宋体" w:hAnsi="宋体" w:cs="宋体"/>
                <w:b/>
                <w:i w:val="0"/>
                <w:color w:val="000000"/>
                <w:sz w:val="14"/>
              </w:rPr>
              <w:t xml:space="preserve">12.14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8.06</w:t>
            </w:r>
          </w:p>
        </w:tc>
        <w:tc>
          <w:tcPr>
            <w:tcW w:w="1160" w:type="dxa"/>
            <w:tcBorders/>
            <w:vAlign w:val="center"/>
          </w:tcPr>
          <w:p>
            <w:pPr>
              <w:jc w:val="right"/>
            </w:pPr>
            <w:r>
              <w:rPr>
                <w:rFonts w:ascii="宋体" w:eastAsia="宋体" w:hAnsi="宋体" w:cs="宋体"/>
                <w:b w:val="0"/>
                <w:i w:val="0"/>
                <w:color w:val="000000"/>
                <w:sz w:val="14"/>
              </w:rPr>
              <w:t xml:space="preserve">8.06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8.06</w:t>
            </w:r>
          </w:p>
        </w:tc>
        <w:tc>
          <w:tcPr>
            <w:tcW w:w="1160" w:type="dxa"/>
            <w:tcBorders/>
            <w:vAlign w:val="center"/>
          </w:tcPr>
          <w:p>
            <w:pPr>
              <w:jc w:val="right"/>
            </w:pPr>
            <w:r>
              <w:rPr>
                <w:rFonts w:ascii="宋体" w:eastAsia="宋体" w:hAnsi="宋体" w:cs="宋体"/>
                <w:b w:val="0"/>
                <w:i w:val="0"/>
                <w:color w:val="000000"/>
                <w:sz w:val="14"/>
              </w:rPr>
              <w:t xml:space="preserve">8.06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8.06</w:t>
            </w:r>
          </w:p>
        </w:tc>
        <w:tc>
          <w:tcPr>
            <w:tcW w:w="1160" w:type="dxa"/>
            <w:tcBorders/>
            <w:vAlign w:val="center"/>
          </w:tcPr>
          <w:p>
            <w:pPr>
              <w:jc w:val="right"/>
            </w:pPr>
            <w:r>
              <w:rPr>
                <w:rFonts w:ascii="宋体" w:eastAsia="宋体" w:hAnsi="宋体" w:cs="宋体"/>
                <w:b w:val="0"/>
                <w:i w:val="0"/>
                <w:color w:val="000000"/>
                <w:sz w:val="14"/>
              </w:rPr>
              <w:t xml:space="preserve">8.06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2.75</w:t>
            </w:r>
          </w:p>
        </w:tc>
        <w:tc>
          <w:tcPr>
            <w:tcW w:w="1160" w:type="dxa"/>
            <w:tcBorders/>
            <w:vAlign w:val="center"/>
          </w:tcPr>
          <w:p>
            <w:pPr>
              <w:jc w:val="right"/>
            </w:pPr>
            <w:r>
              <w:rPr>
                <w:rFonts w:ascii="宋体" w:eastAsia="宋体" w:hAnsi="宋体" w:cs="宋体"/>
                <w:b w:val="0"/>
                <w:i w:val="0"/>
                <w:color w:val="000000"/>
                <w:sz w:val="14"/>
              </w:rPr>
              <w:t xml:space="preserve">2.75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2.69</w:t>
            </w:r>
          </w:p>
        </w:tc>
        <w:tc>
          <w:tcPr>
            <w:tcW w:w="1160" w:type="dxa"/>
            <w:tcBorders/>
            <w:vAlign w:val="center"/>
          </w:tcPr>
          <w:p>
            <w:pPr>
              <w:jc w:val="right"/>
            </w:pPr>
            <w:r>
              <w:rPr>
                <w:rFonts w:ascii="宋体" w:eastAsia="宋体" w:hAnsi="宋体" w:cs="宋体"/>
                <w:b w:val="0"/>
                <w:i w:val="0"/>
                <w:color w:val="000000"/>
                <w:sz w:val="14"/>
              </w:rPr>
              <w:t xml:space="preserve">2.69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1.74</w:t>
            </w:r>
          </w:p>
        </w:tc>
        <w:tc>
          <w:tcPr>
            <w:tcW w:w="1160" w:type="dxa"/>
            <w:tcBorders/>
            <w:vAlign w:val="center"/>
          </w:tcPr>
          <w:p>
            <w:pPr>
              <w:jc w:val="right"/>
            </w:pPr>
            <w:r>
              <w:rPr>
                <w:rFonts w:ascii="宋体" w:eastAsia="宋体" w:hAnsi="宋体" w:cs="宋体"/>
                <w:b w:val="0"/>
                <w:i w:val="0"/>
                <w:color w:val="000000"/>
                <w:sz w:val="14"/>
              </w:rPr>
              <w:t xml:space="preserve">1.74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0.95</w:t>
            </w:r>
          </w:p>
        </w:tc>
        <w:tc>
          <w:tcPr>
            <w:tcW w:w="1160" w:type="dxa"/>
            <w:tcBorders/>
            <w:vAlign w:val="center"/>
          </w:tcPr>
          <w:p>
            <w:pPr>
              <w:jc w:val="right"/>
            </w:pPr>
            <w:r>
              <w:rPr>
                <w:rFonts w:ascii="宋体" w:eastAsia="宋体" w:hAnsi="宋体" w:cs="宋体"/>
                <w:b w:val="0"/>
                <w:i w:val="0"/>
                <w:color w:val="000000"/>
                <w:sz w:val="14"/>
              </w:rPr>
              <w:t xml:space="preserve">0.95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0.42</w:t>
            </w:r>
          </w:p>
        </w:tc>
        <w:tc>
          <w:tcPr>
            <w:tcW w:w="1160" w:type="dxa"/>
            <w:tcBorders/>
            <w:vAlign w:val="center"/>
          </w:tcPr>
          <w:p>
            <w:pPr>
              <w:jc w:val="right"/>
            </w:pPr>
            <w:r>
              <w:rPr>
                <w:rFonts w:ascii="宋体" w:eastAsia="宋体" w:hAnsi="宋体" w:cs="宋体"/>
                <w:b w:val="0"/>
                <w:i w:val="0"/>
                <w:color w:val="000000"/>
                <w:sz w:val="14"/>
              </w:rPr>
              <w:t xml:space="preserve">0.42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0.42</w:t>
            </w:r>
          </w:p>
        </w:tc>
        <w:tc>
          <w:tcPr>
            <w:tcW w:w="1160" w:type="dxa"/>
            <w:tcBorders/>
            <w:vAlign w:val="center"/>
          </w:tcPr>
          <w:p>
            <w:pPr>
              <w:jc w:val="right"/>
            </w:pPr>
            <w:r>
              <w:rPr>
                <w:rFonts w:ascii="宋体" w:eastAsia="宋体" w:hAnsi="宋体" w:cs="宋体"/>
                <w:b w:val="0"/>
                <w:i w:val="0"/>
                <w:color w:val="000000"/>
                <w:sz w:val="14"/>
              </w:rPr>
              <w:t xml:space="preserve">0.42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0.42</w:t>
            </w:r>
          </w:p>
        </w:tc>
        <w:tc>
          <w:tcPr>
            <w:tcW w:w="1160" w:type="dxa"/>
            <w:tcBorders/>
            <w:vAlign w:val="center"/>
          </w:tcPr>
          <w:p>
            <w:pPr>
              <w:jc w:val="right"/>
            </w:pPr>
            <w:r>
              <w:rPr>
                <w:rFonts w:ascii="宋体" w:eastAsia="宋体" w:hAnsi="宋体" w:cs="宋体"/>
                <w:b w:val="0"/>
                <w:i w:val="0"/>
                <w:color w:val="000000"/>
                <w:sz w:val="14"/>
              </w:rPr>
              <w:t xml:space="preserve">0.42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0.92</w:t>
            </w:r>
          </w:p>
        </w:tc>
        <w:tc>
          <w:tcPr>
            <w:tcW w:w="1160" w:type="dxa"/>
            <w:tcBorders/>
            <w:vAlign w:val="center"/>
          </w:tcPr>
          <w:p>
            <w:pPr>
              <w:jc w:val="right"/>
            </w:pPr>
            <w:r>
              <w:rPr>
                <w:rFonts w:ascii="宋体" w:eastAsia="宋体" w:hAnsi="宋体" w:cs="宋体"/>
                <w:b w:val="0"/>
                <w:i w:val="0"/>
                <w:color w:val="000000"/>
                <w:sz w:val="14"/>
              </w:rPr>
              <w:t xml:space="preserve">0.92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0.92</w:t>
            </w:r>
          </w:p>
        </w:tc>
        <w:tc>
          <w:tcPr>
            <w:tcW w:w="1160" w:type="dxa"/>
            <w:tcBorders/>
            <w:vAlign w:val="center"/>
          </w:tcPr>
          <w:p>
            <w:pPr>
              <w:jc w:val="right"/>
            </w:pPr>
            <w:r>
              <w:rPr>
                <w:rFonts w:ascii="宋体" w:eastAsia="宋体" w:hAnsi="宋体" w:cs="宋体"/>
                <w:b w:val="0"/>
                <w:i w:val="0"/>
                <w:color w:val="000000"/>
                <w:sz w:val="14"/>
              </w:rPr>
              <w:t xml:space="preserve">0.92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0.92</w:t>
            </w:r>
          </w:p>
        </w:tc>
        <w:tc>
          <w:tcPr>
            <w:tcW w:w="1160" w:type="dxa"/>
            <w:tcBorders/>
            <w:vAlign w:val="center"/>
          </w:tcPr>
          <w:p>
            <w:pPr>
              <w:jc w:val="right"/>
            </w:pPr>
            <w:r>
              <w:rPr>
                <w:rFonts w:ascii="宋体" w:eastAsia="宋体" w:hAnsi="宋体" w:cs="宋体"/>
                <w:b w:val="0"/>
                <w:i w:val="0"/>
                <w:color w:val="000000"/>
                <w:sz w:val="14"/>
              </w:rPr>
              <w:t xml:space="preserve">0.92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单位：辽宁省抚顺市新抚区殡葬管理行政执法队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12.14</w:t>
            </w:r>
          </w:p>
        </w:tc>
        <w:tc>
          <w:tcPr>
            <w:tcW w:w="1120" w:type="dxa"/>
            <w:tcBorders/>
            <w:vAlign w:val="center"/>
          </w:tcPr>
          <w:p>
            <w:pPr>
              <w:jc w:val="right"/>
            </w:pPr>
            <w:r>
              <w:rPr>
                <w:rFonts w:ascii="宋体" w:eastAsia="宋体" w:hAnsi="宋体" w:cs="宋体"/>
                <w:b/>
                <w:i w:val="0"/>
                <w:color w:val="000000"/>
                <w:sz w:val="16"/>
              </w:rPr>
              <w:t xml:space="preserve">12.14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8.06</w:t>
            </w:r>
          </w:p>
        </w:tc>
        <w:tc>
          <w:tcPr>
            <w:tcW w:w="1120" w:type="dxa"/>
            <w:tcBorders/>
            <w:vAlign w:val="center"/>
          </w:tcPr>
          <w:p>
            <w:pPr>
              <w:jc w:val="right"/>
            </w:pPr>
            <w:r>
              <w:rPr>
                <w:rFonts w:ascii="宋体" w:eastAsia="宋体" w:hAnsi="宋体" w:cs="宋体"/>
                <w:b w:val="0"/>
                <w:i w:val="0"/>
                <w:color w:val="000000"/>
                <w:sz w:val="16"/>
              </w:rPr>
              <w:t xml:space="preserve">8.06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8.06</w:t>
            </w:r>
          </w:p>
        </w:tc>
        <w:tc>
          <w:tcPr>
            <w:tcW w:w="1120" w:type="dxa"/>
            <w:tcBorders/>
            <w:vAlign w:val="center"/>
          </w:tcPr>
          <w:p>
            <w:pPr>
              <w:jc w:val="right"/>
            </w:pPr>
            <w:r>
              <w:rPr>
                <w:rFonts w:ascii="宋体" w:eastAsia="宋体" w:hAnsi="宋体" w:cs="宋体"/>
                <w:b w:val="0"/>
                <w:i w:val="0"/>
                <w:color w:val="000000"/>
                <w:sz w:val="16"/>
              </w:rPr>
              <w:t xml:space="preserve">8.06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8.06</w:t>
            </w:r>
          </w:p>
        </w:tc>
        <w:tc>
          <w:tcPr>
            <w:tcW w:w="1120" w:type="dxa"/>
            <w:tcBorders/>
            <w:vAlign w:val="center"/>
          </w:tcPr>
          <w:p>
            <w:pPr>
              <w:jc w:val="right"/>
            </w:pPr>
            <w:r>
              <w:rPr>
                <w:rFonts w:ascii="宋体" w:eastAsia="宋体" w:hAnsi="宋体" w:cs="宋体"/>
                <w:b w:val="0"/>
                <w:i w:val="0"/>
                <w:color w:val="000000"/>
                <w:sz w:val="16"/>
              </w:rPr>
              <w:t xml:space="preserve">8.06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2.75</w:t>
            </w:r>
          </w:p>
        </w:tc>
        <w:tc>
          <w:tcPr>
            <w:tcW w:w="1120" w:type="dxa"/>
            <w:tcBorders/>
            <w:vAlign w:val="center"/>
          </w:tcPr>
          <w:p>
            <w:pPr>
              <w:jc w:val="right"/>
            </w:pPr>
            <w:r>
              <w:rPr>
                <w:rFonts w:ascii="宋体" w:eastAsia="宋体" w:hAnsi="宋体" w:cs="宋体"/>
                <w:b w:val="0"/>
                <w:i w:val="0"/>
                <w:color w:val="000000"/>
                <w:sz w:val="16"/>
              </w:rPr>
              <w:t xml:space="preserve">2.75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2.69</w:t>
            </w:r>
          </w:p>
        </w:tc>
        <w:tc>
          <w:tcPr>
            <w:tcW w:w="1120" w:type="dxa"/>
            <w:tcBorders/>
            <w:vAlign w:val="center"/>
          </w:tcPr>
          <w:p>
            <w:pPr>
              <w:jc w:val="right"/>
            </w:pPr>
            <w:r>
              <w:rPr>
                <w:rFonts w:ascii="宋体" w:eastAsia="宋体" w:hAnsi="宋体" w:cs="宋体"/>
                <w:b w:val="0"/>
                <w:i w:val="0"/>
                <w:color w:val="000000"/>
                <w:sz w:val="16"/>
              </w:rPr>
              <w:t xml:space="preserve">2.69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1.74</w:t>
            </w:r>
          </w:p>
        </w:tc>
        <w:tc>
          <w:tcPr>
            <w:tcW w:w="1120" w:type="dxa"/>
            <w:tcBorders/>
            <w:vAlign w:val="center"/>
          </w:tcPr>
          <w:p>
            <w:pPr>
              <w:jc w:val="right"/>
            </w:pPr>
            <w:r>
              <w:rPr>
                <w:rFonts w:ascii="宋体" w:eastAsia="宋体" w:hAnsi="宋体" w:cs="宋体"/>
                <w:b w:val="0"/>
                <w:i w:val="0"/>
                <w:color w:val="000000"/>
                <w:sz w:val="16"/>
              </w:rPr>
              <w:t xml:space="preserve">1.74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0.95</w:t>
            </w:r>
          </w:p>
        </w:tc>
        <w:tc>
          <w:tcPr>
            <w:tcW w:w="1120" w:type="dxa"/>
            <w:tcBorders/>
            <w:vAlign w:val="center"/>
          </w:tcPr>
          <w:p>
            <w:pPr>
              <w:jc w:val="right"/>
            </w:pPr>
            <w:r>
              <w:rPr>
                <w:rFonts w:ascii="宋体" w:eastAsia="宋体" w:hAnsi="宋体" w:cs="宋体"/>
                <w:b w:val="0"/>
                <w:i w:val="0"/>
                <w:color w:val="000000"/>
                <w:sz w:val="16"/>
              </w:rPr>
              <w:t xml:space="preserve">0.95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0.42</w:t>
            </w:r>
          </w:p>
        </w:tc>
        <w:tc>
          <w:tcPr>
            <w:tcW w:w="1120" w:type="dxa"/>
            <w:tcBorders/>
            <w:vAlign w:val="center"/>
          </w:tcPr>
          <w:p>
            <w:pPr>
              <w:jc w:val="right"/>
            </w:pPr>
            <w:r>
              <w:rPr>
                <w:rFonts w:ascii="宋体" w:eastAsia="宋体" w:hAnsi="宋体" w:cs="宋体"/>
                <w:b w:val="0"/>
                <w:i w:val="0"/>
                <w:color w:val="000000"/>
                <w:sz w:val="16"/>
              </w:rPr>
              <w:t xml:space="preserve">0.42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0.42</w:t>
            </w:r>
          </w:p>
        </w:tc>
        <w:tc>
          <w:tcPr>
            <w:tcW w:w="1120" w:type="dxa"/>
            <w:tcBorders/>
            <w:vAlign w:val="center"/>
          </w:tcPr>
          <w:p>
            <w:pPr>
              <w:jc w:val="right"/>
            </w:pPr>
            <w:r>
              <w:rPr>
                <w:rFonts w:ascii="宋体" w:eastAsia="宋体" w:hAnsi="宋体" w:cs="宋体"/>
                <w:b w:val="0"/>
                <w:i w:val="0"/>
                <w:color w:val="000000"/>
                <w:sz w:val="16"/>
              </w:rPr>
              <w:t xml:space="preserve">0.42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0.42</w:t>
            </w:r>
          </w:p>
        </w:tc>
        <w:tc>
          <w:tcPr>
            <w:tcW w:w="1120" w:type="dxa"/>
            <w:tcBorders/>
            <w:vAlign w:val="center"/>
          </w:tcPr>
          <w:p>
            <w:pPr>
              <w:jc w:val="right"/>
            </w:pPr>
            <w:r>
              <w:rPr>
                <w:rFonts w:ascii="宋体" w:eastAsia="宋体" w:hAnsi="宋体" w:cs="宋体"/>
                <w:b w:val="0"/>
                <w:i w:val="0"/>
                <w:color w:val="000000"/>
                <w:sz w:val="16"/>
              </w:rPr>
              <w:t xml:space="preserve">0.42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0.92</w:t>
            </w:r>
          </w:p>
        </w:tc>
        <w:tc>
          <w:tcPr>
            <w:tcW w:w="1120" w:type="dxa"/>
            <w:tcBorders/>
            <w:vAlign w:val="center"/>
          </w:tcPr>
          <w:p>
            <w:pPr>
              <w:jc w:val="right"/>
            </w:pPr>
            <w:r>
              <w:rPr>
                <w:rFonts w:ascii="宋体" w:eastAsia="宋体" w:hAnsi="宋体" w:cs="宋体"/>
                <w:b w:val="0"/>
                <w:i w:val="0"/>
                <w:color w:val="000000"/>
                <w:sz w:val="16"/>
              </w:rPr>
              <w:t xml:space="preserve">0.92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0.92</w:t>
            </w:r>
          </w:p>
        </w:tc>
        <w:tc>
          <w:tcPr>
            <w:tcW w:w="1120" w:type="dxa"/>
            <w:tcBorders/>
            <w:vAlign w:val="center"/>
          </w:tcPr>
          <w:p>
            <w:pPr>
              <w:jc w:val="right"/>
            </w:pPr>
            <w:r>
              <w:rPr>
                <w:rFonts w:ascii="宋体" w:eastAsia="宋体" w:hAnsi="宋体" w:cs="宋体"/>
                <w:b w:val="0"/>
                <w:i w:val="0"/>
                <w:color w:val="000000"/>
                <w:sz w:val="16"/>
              </w:rPr>
              <w:t xml:space="preserve">0.92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0.92</w:t>
            </w:r>
          </w:p>
        </w:tc>
        <w:tc>
          <w:tcPr>
            <w:tcW w:w="1120" w:type="dxa"/>
            <w:tcBorders/>
            <w:vAlign w:val="center"/>
          </w:tcPr>
          <w:p>
            <w:pPr>
              <w:jc w:val="right"/>
            </w:pPr>
            <w:r>
              <w:rPr>
                <w:rFonts w:ascii="宋体" w:eastAsia="宋体" w:hAnsi="宋体" w:cs="宋体"/>
                <w:b w:val="0"/>
                <w:i w:val="0"/>
                <w:color w:val="000000"/>
                <w:sz w:val="16"/>
              </w:rPr>
              <w:t xml:space="preserve">0.92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单位：辽宁省抚顺市新抚区殡葬管理行政执法队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12.14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8.06</w:t>
            </w:r>
          </w:p>
        </w:tc>
        <w:tc>
          <w:tcPr>
            <w:tcW w:w="1100" w:type="dxa"/>
            <w:tcBorders/>
            <w:vAlign w:val="center"/>
          </w:tcPr>
          <w:p>
            <w:pPr>
              <w:jc w:val="right"/>
            </w:pPr>
            <w:r>
              <w:rPr>
                <w:rFonts w:ascii="宋体" w:eastAsia="宋体" w:hAnsi="宋体" w:cs="宋体"/>
                <w:b w:val="0"/>
                <w:i w:val="0"/>
                <w:color w:val="000000"/>
                <w:sz w:val="14"/>
              </w:rPr>
              <w:t xml:space="preserve">8.06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2.75</w:t>
            </w:r>
          </w:p>
        </w:tc>
        <w:tc>
          <w:tcPr>
            <w:tcW w:w="1100" w:type="dxa"/>
            <w:tcBorders/>
            <w:vAlign w:val="center"/>
          </w:tcPr>
          <w:p>
            <w:pPr>
              <w:jc w:val="right"/>
            </w:pPr>
            <w:r>
              <w:rPr>
                <w:rFonts w:ascii="宋体" w:eastAsia="宋体" w:hAnsi="宋体" w:cs="宋体"/>
                <w:b w:val="0"/>
                <w:i w:val="0"/>
                <w:color w:val="000000"/>
                <w:sz w:val="14"/>
              </w:rPr>
              <w:t xml:space="preserve">2.75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0.42</w:t>
            </w:r>
          </w:p>
        </w:tc>
        <w:tc>
          <w:tcPr>
            <w:tcW w:w="1100" w:type="dxa"/>
            <w:tcBorders/>
            <w:vAlign w:val="center"/>
          </w:tcPr>
          <w:p>
            <w:pPr>
              <w:jc w:val="right"/>
            </w:pPr>
            <w:r>
              <w:rPr>
                <w:rFonts w:ascii="宋体" w:eastAsia="宋体" w:hAnsi="宋体" w:cs="宋体"/>
                <w:b w:val="0"/>
                <w:i w:val="0"/>
                <w:color w:val="000000"/>
                <w:sz w:val="14"/>
              </w:rPr>
              <w:t xml:space="preserve">0.42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0.92</w:t>
            </w:r>
          </w:p>
        </w:tc>
        <w:tc>
          <w:tcPr>
            <w:tcW w:w="1100" w:type="dxa"/>
            <w:tcBorders/>
            <w:vAlign w:val="center"/>
          </w:tcPr>
          <w:p>
            <w:pPr>
              <w:jc w:val="right"/>
            </w:pPr>
            <w:r>
              <w:rPr>
                <w:rFonts w:ascii="宋体" w:eastAsia="宋体" w:hAnsi="宋体" w:cs="宋体"/>
                <w:b w:val="0"/>
                <w:i w:val="0"/>
                <w:color w:val="000000"/>
                <w:sz w:val="14"/>
              </w:rPr>
              <w:t xml:space="preserve">0.92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12.14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12.14</w:t>
            </w:r>
          </w:p>
        </w:tc>
        <w:tc>
          <w:tcPr>
            <w:tcW w:w="1100" w:type="dxa"/>
            <w:tcBorders/>
            <w:vAlign w:val="center"/>
          </w:tcPr>
          <w:p>
            <w:pPr>
              <w:jc w:val="right"/>
            </w:pPr>
            <w:r>
              <w:rPr>
                <w:rFonts w:ascii="宋体" w:eastAsia="宋体" w:hAnsi="宋体" w:cs="宋体"/>
                <w:b w:val="0"/>
                <w:i w:val="0"/>
                <w:color w:val="000000"/>
                <w:sz w:val="14"/>
              </w:rPr>
              <w:t xml:space="preserve">12.14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12.14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12.14</w:t>
            </w:r>
          </w:p>
        </w:tc>
        <w:tc>
          <w:tcPr>
            <w:tcW w:w="1100" w:type="dxa"/>
            <w:tcBorders/>
            <w:vAlign w:val="center"/>
          </w:tcPr>
          <w:p>
            <w:pPr>
              <w:jc w:val="right"/>
            </w:pPr>
            <w:r>
              <w:rPr>
                <w:rFonts w:ascii="宋体" w:eastAsia="宋体" w:hAnsi="宋体" w:cs="宋体"/>
                <w:b w:val="0"/>
                <w:i w:val="0"/>
                <w:color w:val="000000"/>
                <w:sz w:val="14"/>
              </w:rPr>
              <w:t xml:space="preserve">12.14</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单位：辽宁省抚顺市新抚区殡葬管理行政执法队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12.14</w:t>
            </w:r>
          </w:p>
        </w:tc>
        <w:tc>
          <w:tcPr>
            <w:tcW w:w="1980" w:type="dxa"/>
            <w:tcBorders/>
            <w:vAlign w:val="center"/>
          </w:tcPr>
          <w:p>
            <w:pPr>
              <w:jc w:val="right"/>
            </w:pPr>
            <w:r>
              <w:rPr>
                <w:rFonts w:ascii="宋体" w:eastAsia="宋体" w:hAnsi="宋体" w:cs="宋体"/>
                <w:b/>
                <w:i w:val="0"/>
                <w:color w:val="000000"/>
                <w:sz w:val="20"/>
              </w:rPr>
              <w:t xml:space="preserve">12.14</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8.06</w:t>
            </w:r>
          </w:p>
        </w:tc>
        <w:tc>
          <w:tcPr>
            <w:tcW w:w="1980" w:type="dxa"/>
            <w:tcBorders/>
            <w:vAlign w:val="center"/>
          </w:tcPr>
          <w:p>
            <w:pPr>
              <w:jc w:val="right"/>
            </w:pPr>
            <w:r>
              <w:rPr>
                <w:rFonts w:ascii="宋体" w:eastAsia="宋体" w:hAnsi="宋体" w:cs="宋体"/>
                <w:b w:val="0"/>
                <w:i w:val="0"/>
                <w:color w:val="000000"/>
                <w:sz w:val="20"/>
              </w:rPr>
              <w:t xml:space="preserve">8.06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8.06</w:t>
            </w:r>
          </w:p>
        </w:tc>
        <w:tc>
          <w:tcPr>
            <w:tcW w:w="1980" w:type="dxa"/>
            <w:tcBorders/>
            <w:vAlign w:val="center"/>
          </w:tcPr>
          <w:p>
            <w:pPr>
              <w:jc w:val="right"/>
            </w:pPr>
            <w:r>
              <w:rPr>
                <w:rFonts w:ascii="宋体" w:eastAsia="宋体" w:hAnsi="宋体" w:cs="宋体"/>
                <w:b w:val="0"/>
                <w:i w:val="0"/>
                <w:color w:val="000000"/>
                <w:sz w:val="20"/>
              </w:rPr>
              <w:t xml:space="preserve">8.06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8.06</w:t>
            </w:r>
          </w:p>
        </w:tc>
        <w:tc>
          <w:tcPr>
            <w:tcW w:w="1980" w:type="dxa"/>
            <w:tcBorders/>
            <w:vAlign w:val="center"/>
          </w:tcPr>
          <w:p>
            <w:pPr>
              <w:jc w:val="right"/>
            </w:pPr>
            <w:r>
              <w:rPr>
                <w:rFonts w:ascii="宋体" w:eastAsia="宋体" w:hAnsi="宋体" w:cs="宋体"/>
                <w:b w:val="0"/>
                <w:i w:val="0"/>
                <w:color w:val="000000"/>
                <w:sz w:val="20"/>
              </w:rPr>
              <w:t xml:space="preserve">8.06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2.75</w:t>
            </w:r>
          </w:p>
        </w:tc>
        <w:tc>
          <w:tcPr>
            <w:tcW w:w="1980" w:type="dxa"/>
            <w:tcBorders/>
            <w:vAlign w:val="center"/>
          </w:tcPr>
          <w:p>
            <w:pPr>
              <w:jc w:val="right"/>
            </w:pPr>
            <w:r>
              <w:rPr>
                <w:rFonts w:ascii="宋体" w:eastAsia="宋体" w:hAnsi="宋体" w:cs="宋体"/>
                <w:b w:val="0"/>
                <w:i w:val="0"/>
                <w:color w:val="000000"/>
                <w:sz w:val="20"/>
              </w:rPr>
              <w:t xml:space="preserve">2.75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其他民政管理事务支出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2.69</w:t>
            </w:r>
          </w:p>
        </w:tc>
        <w:tc>
          <w:tcPr>
            <w:tcW w:w="1980" w:type="dxa"/>
            <w:tcBorders/>
            <w:vAlign w:val="center"/>
          </w:tcPr>
          <w:p>
            <w:pPr>
              <w:jc w:val="right"/>
            </w:pPr>
            <w:r>
              <w:rPr>
                <w:rFonts w:ascii="宋体" w:eastAsia="宋体" w:hAnsi="宋体" w:cs="宋体"/>
                <w:b w:val="0"/>
                <w:i w:val="0"/>
                <w:color w:val="000000"/>
                <w:sz w:val="20"/>
              </w:rPr>
              <w:t xml:space="preserve">2.69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1.74</w:t>
            </w:r>
          </w:p>
        </w:tc>
        <w:tc>
          <w:tcPr>
            <w:tcW w:w="1980" w:type="dxa"/>
            <w:tcBorders/>
            <w:vAlign w:val="center"/>
          </w:tcPr>
          <w:p>
            <w:pPr>
              <w:jc w:val="right"/>
            </w:pPr>
            <w:r>
              <w:rPr>
                <w:rFonts w:ascii="宋体" w:eastAsia="宋体" w:hAnsi="宋体" w:cs="宋体"/>
                <w:b w:val="0"/>
                <w:i w:val="0"/>
                <w:color w:val="000000"/>
                <w:sz w:val="20"/>
              </w:rPr>
              <w:t xml:space="preserve">1.74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0.95</w:t>
            </w:r>
          </w:p>
        </w:tc>
        <w:tc>
          <w:tcPr>
            <w:tcW w:w="1980" w:type="dxa"/>
            <w:tcBorders/>
            <w:vAlign w:val="center"/>
          </w:tcPr>
          <w:p>
            <w:pPr>
              <w:jc w:val="right"/>
            </w:pPr>
            <w:r>
              <w:rPr>
                <w:rFonts w:ascii="宋体" w:eastAsia="宋体" w:hAnsi="宋体" w:cs="宋体"/>
                <w:b w:val="0"/>
                <w:i w:val="0"/>
                <w:color w:val="000000"/>
                <w:sz w:val="20"/>
              </w:rPr>
              <w:t xml:space="preserve">0.95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0.42</w:t>
            </w:r>
          </w:p>
        </w:tc>
        <w:tc>
          <w:tcPr>
            <w:tcW w:w="1980" w:type="dxa"/>
            <w:tcBorders/>
            <w:vAlign w:val="center"/>
          </w:tcPr>
          <w:p>
            <w:pPr>
              <w:jc w:val="right"/>
            </w:pPr>
            <w:r>
              <w:rPr>
                <w:rFonts w:ascii="宋体" w:eastAsia="宋体" w:hAnsi="宋体" w:cs="宋体"/>
                <w:b w:val="0"/>
                <w:i w:val="0"/>
                <w:color w:val="000000"/>
                <w:sz w:val="20"/>
              </w:rPr>
              <w:t xml:space="preserve">0.42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0.42</w:t>
            </w:r>
          </w:p>
        </w:tc>
        <w:tc>
          <w:tcPr>
            <w:tcW w:w="1980" w:type="dxa"/>
            <w:tcBorders/>
            <w:vAlign w:val="center"/>
          </w:tcPr>
          <w:p>
            <w:pPr>
              <w:jc w:val="right"/>
            </w:pPr>
            <w:r>
              <w:rPr>
                <w:rFonts w:ascii="宋体" w:eastAsia="宋体" w:hAnsi="宋体" w:cs="宋体"/>
                <w:b w:val="0"/>
                <w:i w:val="0"/>
                <w:color w:val="000000"/>
                <w:sz w:val="20"/>
              </w:rPr>
              <w:t xml:space="preserve">0.42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0.42</w:t>
            </w:r>
          </w:p>
        </w:tc>
        <w:tc>
          <w:tcPr>
            <w:tcW w:w="1980" w:type="dxa"/>
            <w:tcBorders/>
            <w:vAlign w:val="center"/>
          </w:tcPr>
          <w:p>
            <w:pPr>
              <w:jc w:val="right"/>
            </w:pPr>
            <w:r>
              <w:rPr>
                <w:rFonts w:ascii="宋体" w:eastAsia="宋体" w:hAnsi="宋体" w:cs="宋体"/>
                <w:b w:val="0"/>
                <w:i w:val="0"/>
                <w:color w:val="000000"/>
                <w:sz w:val="20"/>
              </w:rPr>
              <w:t xml:space="preserve">0.42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0.92</w:t>
            </w:r>
          </w:p>
        </w:tc>
        <w:tc>
          <w:tcPr>
            <w:tcW w:w="1980" w:type="dxa"/>
            <w:tcBorders/>
            <w:vAlign w:val="center"/>
          </w:tcPr>
          <w:p>
            <w:pPr>
              <w:jc w:val="right"/>
            </w:pPr>
            <w:r>
              <w:rPr>
                <w:rFonts w:ascii="宋体" w:eastAsia="宋体" w:hAnsi="宋体" w:cs="宋体"/>
                <w:b w:val="0"/>
                <w:i w:val="0"/>
                <w:color w:val="000000"/>
                <w:sz w:val="20"/>
              </w:rPr>
              <w:t xml:space="preserve">0.92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0.92</w:t>
            </w:r>
          </w:p>
        </w:tc>
        <w:tc>
          <w:tcPr>
            <w:tcW w:w="1980" w:type="dxa"/>
            <w:tcBorders/>
            <w:vAlign w:val="center"/>
          </w:tcPr>
          <w:p>
            <w:pPr>
              <w:jc w:val="right"/>
            </w:pPr>
            <w:r>
              <w:rPr>
                <w:rFonts w:ascii="宋体" w:eastAsia="宋体" w:hAnsi="宋体" w:cs="宋体"/>
                <w:b w:val="0"/>
                <w:i w:val="0"/>
                <w:color w:val="000000"/>
                <w:sz w:val="20"/>
              </w:rPr>
              <w:t xml:space="preserve">0.92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0.92</w:t>
            </w:r>
          </w:p>
        </w:tc>
        <w:tc>
          <w:tcPr>
            <w:tcW w:w="1980" w:type="dxa"/>
            <w:tcBorders/>
            <w:vAlign w:val="center"/>
          </w:tcPr>
          <w:p>
            <w:pPr>
              <w:jc w:val="right"/>
            </w:pPr>
            <w:r>
              <w:rPr>
                <w:rFonts w:ascii="宋体" w:eastAsia="宋体" w:hAnsi="宋体" w:cs="宋体"/>
                <w:b w:val="0"/>
                <w:i w:val="0"/>
                <w:color w:val="000000"/>
                <w:sz w:val="20"/>
              </w:rPr>
              <w:t xml:space="preserve">0.92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单位：辽宁省抚顺市新抚区殡葬管理行政执法队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9.38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0.33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3.08</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0.25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3.95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0.95</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0.42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0.06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0.92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2.43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1.74</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0.70</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11.81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0.33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单位：辽宁省抚顺市新抚区殡葬管理行政执法队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单位：辽宁省抚顺市新抚区殡葬管理行政执法队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单位：辽宁省抚顺市新抚区殡葬管理行政执法队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49"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510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