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高龄津贴申请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5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pacing w:val="8"/>
          <w:kern w:val="0"/>
          <w:sz w:val="32"/>
          <w:szCs w:val="32"/>
          <w:lang w:val="en-US" w:eastAsia="zh-CN"/>
        </w:rPr>
        <w:t>一、80-89周岁低收入（低保户、低保边缘户、特困供养）老年人高龄津贴发放办法：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（一）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发放依据：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关于对80至89周岁低收入老年人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发放高龄津贴的通知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（二）发放范围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时间：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户籍在本市行政区域内，年龄在80至89周岁的城乡低收入老年人（城乡低保对象、低保边缘对象和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特困供养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中的老年人）。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此政策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自2013年1月1日起执行。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（三）发放标准：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人每月发放不少于50元的高龄津贴（不计算家庭收入之中）。具体发放标准可由各县（区）人民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政府根据当地实际情况自行确定。鼓励有条件的县（区）在此基础上扩大发放范围，提高津贴标准。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（四）资金来源：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低保对象中的老年人高龄津贴通过提高低保分类救助比例，由低保渠道发放，在低保金中列支，省在分配低保资金时对各地给予补助。低保边缘对象和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特困供养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中的老年人高龄津贴发放所需资金由市与区、县（市）按照1：1的比例承担。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（五）办理程序：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申请——持老人身份证、户口本原件及复印件各3份，近期照片3张（低收入老年人补贴需持本人和法定监护人身份证、户口证明、城乡低保证、低保边缘户、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特困供养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证明，本人或法定监护人签字的委托书）到户籍所在地社区（村）提出申请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入户——社区（村）入户调查，查看是否长期居住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初审——符合条件的，填写相关表格，上报乡镇、街道审核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审核——乡镇、街道对社区（村）上报材料进行审核，审核合格后，报送区民政局老龄办审批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审批——老龄办集中审批，统一办理银行卡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发放——区老龄办向财政上报拨款计划，进行社会化发放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领取——老人持银行卡（折）到抚顺银行就近领取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5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pacing w:val="8"/>
          <w:kern w:val="0"/>
          <w:sz w:val="32"/>
          <w:szCs w:val="32"/>
          <w:lang w:val="en-US" w:eastAsia="zh-CN"/>
        </w:rPr>
        <w:t>二、90周岁以上老年人高龄津贴发放办法：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（一）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发放依据：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关于为90周岁至99周岁老年人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发放生活补贴的通知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发放范围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时间：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kern w:val="0"/>
          <w:sz w:val="32"/>
          <w:szCs w:val="32"/>
          <w:lang w:val="en-US" w:eastAsia="zh-CN"/>
        </w:rPr>
        <w:t>凡我市年龄满90周岁以上的老年人（以户口或身份证为准）均可申报高龄津贴。此政策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自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2008年10月1日起实施。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（三）发放标准：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全市90周岁至99周岁老年人每人每月发放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高龄津贴，百岁老年人每人每月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500元高龄津贴。（2018年7月1日起）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）资金来源：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根据《辽宁省老年人权益保障条例》规定：所需资金由县、区政府承担。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pacing w:val="8"/>
          <w:kern w:val="0"/>
          <w:sz w:val="32"/>
          <w:szCs w:val="32"/>
          <w:lang w:val="en-US" w:eastAsia="zh-CN"/>
        </w:rPr>
        <w:t>（五）办理流程：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申请——持老人身份证、户口本原件及复印件各3份，近期照片3张到户籍所在地社区（村）提出申请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入户——社区（村）入户调查，查看是否长期居住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初审——符合条件的，填写相关表格，上报乡镇、街道审核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审核——乡镇、街道对社区（村）上报材料进行审核，审核合格后，报送区民政局老龄办审批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审批——老龄办集中审批，统一办理银行卡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发放——区老龄办向财政上报拨款计划，进行社会化发放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领取——老人持银行卡（折）到抚顺银行就近领取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咨询电话：53910313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0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87C64"/>
    <w:rsid w:val="0D224B90"/>
    <w:rsid w:val="3EA52F80"/>
    <w:rsid w:val="43174BF3"/>
    <w:rsid w:val="55765995"/>
    <w:rsid w:val="56336C6F"/>
    <w:rsid w:val="6A287C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2018-09-20T07:05:00Z</dcterms:created>
  <dc:creator>Administrator</dc:creator>
  <cp:lastModifiedBy>Administrator</cp:lastModifiedBy>
  <cp:lastPrinted>2018-10-06T06:13:00Z</cp:lastPrinted>
  <dcterms:modified xsi:type="dcterms:W3CDTF">2018-10-09T08:50:06Z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